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w:t>
      </w:r>
      <w:r>
        <w:t xml:space="preserve"> </w:t>
      </w:r>
      <w:r>
        <w:t xml:space="preserve">Cassimeris et al. (</w:t>
      </w:r>
      <w:hyperlink w:anchor="ref-Cassimeris1994">
        <w:r>
          <w:rPr>
            <w:rStyle w:val="Hyperlink"/>
          </w:rPr>
          <w:t xml:space="preserve">1994</w:t>
        </w:r>
      </w:hyperlink>
      <w:r>
        <w:t xml:space="preserve">)</w:t>
      </w:r>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w:t>
      </w:r>
    </w:p>
    <w:p>
      <w:pPr>
        <w:pStyle w:val="BodyText"/>
      </w:pPr>
      <w:r>
        <w:t xml:space="preserve">L'origine de cette synchronisation est encore inconnue bien des études proposant des hypothèses de processus actifs basées sur la détection de la force et la présence d'une horloge moléculaire au niveau du microtubule existent</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Armond et al. (</w:t>
      </w:r>
      <w:hyperlink w:anchor="ref-Armond2015">
        <w:r>
          <w:rPr>
            <w:rStyle w:val="Hyperlink"/>
          </w:rPr>
          <w:t xml:space="preserve">2015</w:t>
        </w:r>
      </w:hyperlink>
      <w:r>
        <w:t xml:space="preserve">)</w:t>
      </w:r>
      <w:r>
        <w:t xml:space="preserve">,</w:t>
      </w:r>
      <w:r>
        <w:t xml:space="preserve"> </w:t>
      </w:r>
      <w:r>
        <w:t xml:space="preserve">Burroughs et al. (</w:t>
      </w:r>
      <w:hyperlink w:anchor="ref-Burroughs2015">
        <w:r>
          <w:rPr>
            <w:rStyle w:val="Hyperlink"/>
          </w:rPr>
          <w:t xml:space="preserve">2015</w:t>
        </w:r>
      </w:hyperlink>
      <w:r>
        <w:t xml:space="preserve">)</w:t>
      </w:r>
      <w:r>
        <w:t xml:space="preserve">)</w:t>
      </w:r>
      <w:r>
        <w:t xml:space="preserv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sec:coherence)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Stephens et al. (</w:t>
      </w:r>
      <w:hyperlink w:anchor="ref-Stephens2013a">
        <w:r>
          <w:rPr>
            <w:rStyle w:val="Hyperlink"/>
          </w:rPr>
          <w:t xml:space="preserve">2013</w:t>
        </w:r>
      </w:hyperlink>
      <w:r>
        <w:t xml:space="preserve">)</w:t>
      </w:r>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totalement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w:t>
      </w:r>
    </w:p>
    <w:p>
      <w:pPr>
        <w:pStyle w:val="Heading3"/>
      </w:pPr>
      <w:bookmarkStart w:id="133" w:name="vers-un-modèle-global-de-la-division-cellulaire"/>
      <w:bookmarkEnd w:id="133"/>
      <w:r>
        <w:t xml:space="preserve">Vers un modèle global de la division cellulaire</w:t>
      </w:r>
    </w:p>
    <w:p>
      <w:pPr>
        <w:pStyle w:val="FirstParagraph"/>
      </w:pPr>
      <w:r>
        <w:t xml:space="preserve">LA JE VAIS JUSTE FAIRE DEUX TROIS PETITS PARAGRAPHES DE PERSPECTIVES SUR LA COLLABO AVEC JACQUES</w:t>
      </w:r>
    </w:p>
    <w:p>
      <w:pPr>
        <w:pStyle w:val="Compact"/>
        <w:numPr>
          <w:numId w:val="1020"/>
          <w:ilvl w:val="0"/>
        </w:numPr>
      </w:pPr>
      <w:r>
        <w:t xml:space="preserve">apport modelisation ds la dynamique</w:t>
      </w:r>
    </w:p>
    <w:p>
      <w:pPr>
        <w:pStyle w:val="Compact"/>
        <w:numPr>
          <w:numId w:val="1020"/>
          <w:ilvl w:val="0"/>
        </w:numPr>
      </w:pPr>
      <w:r>
        <w:t xml:space="preserve">ouvre passage a la 3d et multi organismes + orientation</w:t>
      </w:r>
    </w:p>
    <w:p>
      <w:pPr>
        <w:pStyle w:val="Compact"/>
        <w:numPr>
          <w:numId w:val="1020"/>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1"/>
          <w:ilvl w:val="0"/>
        </w:numPr>
      </w:pPr>
      <w:r>
        <w:t xml:space="preserve">Un chromosome est représenté par ses deux kinétochores frères.</w:t>
      </w:r>
    </w:p>
    <w:p>
      <w:pPr>
        <w:numPr>
          <w:numId w:val="1021"/>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1"/>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1"/>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1"/>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2"/>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2"/>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f71cbfa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124576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